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462280" distB="621665" distL="114300" distR="3583305" simplePos="0" relativeHeight="125829378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1222375</wp:posOffset>
                </wp:positionV>
                <wp:extent cx="850265" cy="27432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РАССМОТРЕНО МО учителей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3.2pt;margin-top:96.25pt;width:66.950000000000003pt;height:21.600000000000001pt;z-index:-125829375;mso-wrap-distance-left:9.pt;mso-wrap-distance-top:36.399999999999999pt;mso-wrap-distance-right:282.14999999999998pt;mso-wrap-distance-bottom:48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РАССМОТРЕНО МО учителей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1800" distB="633730" distL="2025650" distR="1001395" simplePos="0" relativeHeight="125829380" behindDoc="0" locked="0" layoutInCell="1" allowOverlap="1">
                <wp:simplePos x="0" y="0"/>
                <wp:positionH relativeFrom="page">
                  <wp:posOffset>3348990</wp:posOffset>
                </wp:positionH>
                <wp:positionV relativeFrom="paragraph">
                  <wp:posOffset>1191895</wp:posOffset>
                </wp:positionV>
                <wp:extent cx="1520825" cy="2927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082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СОГЛАСОВАНО Заместитель директора по УВР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3.69999999999999pt;margin-top:93.849999999999994pt;width:119.75pt;height:23.050000000000001pt;z-index:-125829373;mso-wrap-distance-left:159.5pt;mso-wrap-distance-top:34.pt;mso-wrap-distance-right:78.849999999999994pt;mso-wrap-distance-bottom:49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18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СОГЛАСОВАНО Заместитель директора по УВР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305" distB="688975" distL="3942715" distR="114300" simplePos="0" relativeHeight="125829382" behindDoc="0" locked="0" layoutInCell="1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1295400</wp:posOffset>
                </wp:positionV>
                <wp:extent cx="490855" cy="13398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4.64999999999998pt;margin-top:102.pt;width:38.649999999999999pt;height:10.550000000000001pt;z-index:-125829371;mso-wrap-distance-left:310.44999999999999pt;mso-wrap-distance-top:42.149999999999999pt;mso-wrap-distance-right:9.pt;mso-wrap-distance-bottom:5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9335" distB="142875" distL="123190" distR="3430905" simplePos="0" relativeHeight="125829384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1789430</wp:posOffset>
                </wp:positionV>
                <wp:extent cx="993775" cy="1860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Руковоеоднтсль МО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3.90000000000001pt;margin-top:140.90000000000001pt;width:78.25pt;height:14.65pt;z-index:-125829369;mso-wrap-distance-left:9.6999999999999993pt;mso-wrap-distance-top:81.049999999999997pt;mso-wrap-distance-right:270.14999999999998pt;mso-wrap-distance-bottom:11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Руковоеоднтсль МО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5200" distB="203835" distL="2034540" distR="1766570" simplePos="0" relativeHeight="125829386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1725295</wp:posOffset>
                </wp:positionV>
                <wp:extent cx="746760" cy="1892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Протокол № 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4.39999999999998pt;margin-top:135.84999999999999pt;width:58.799999999999997pt;height:14.9pt;z-index:-125829367;mso-wrap-distance-left:160.19999999999999pt;mso-wrap-distance-top:76.pt;mso-wrap-distance-right:139.09999999999999pt;mso-wrap-distance-bottom:16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Протокол № 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24280" distB="0" distL="2037715" distR="1724025" simplePos="0" relativeHeight="125829388" behindDoc="0" locked="0" layoutInCell="1" allowOverlap="1">
                <wp:simplePos x="0" y="0"/>
                <wp:positionH relativeFrom="page">
                  <wp:posOffset>3361055</wp:posOffset>
                </wp:positionH>
                <wp:positionV relativeFrom="paragraph">
                  <wp:posOffset>1984375</wp:posOffset>
                </wp:positionV>
                <wp:extent cx="786130" cy="1339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0т30.08.2023 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4.64999999999998pt;margin-top:156.25pt;width:61.899999999999999pt;height:10.550000000000001pt;z-index:-125829365;mso-wrap-distance-left:160.44999999999999pt;mso-wrap-distance-top:96.400000000000006pt;mso-wrap-distance-right:13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0т30.08.2023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2690" distB="21590" distL="3558540" distR="248920" simplePos="0" relativeHeight="125829390" behindDoc="0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1962785</wp:posOffset>
                </wp:positionV>
                <wp:extent cx="740410" cy="1339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От 30.08.2023т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4.39999999999998pt;margin-top:154.55000000000001pt;width:58.299999999999997pt;height:10.550000000000001pt;z-index:-125829363;mso-wrap-distance-left:280.19999999999999pt;mso-wrap-distance-top:94.700000000000003pt;mso-wrap-distance-right:19.600000000000001pt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 30.08.2023т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right="0" w:firstLine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2520950</wp:posOffset>
            </wp:positionH>
            <wp:positionV relativeFrom="margin">
              <wp:posOffset>472440</wp:posOffset>
            </wp:positionV>
            <wp:extent cx="3785870" cy="14084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85870" cy="14084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образования и науки Республики Бурятия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ГБОУ "Республиканский бурятский национальный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9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Протокол № / от 30.08.2023 г.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8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РАБОЧАЯ ПРОГРАММА ВНЕУРОЧНОЙ ДЕЯТЕЛЬНОСТИ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 класс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«Математическая грамотность»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180" w:line="298" w:lineRule="auto"/>
        <w:ind w:left="664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Составитель: Халтанова С. Ю. учитель математики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583" w:left="1318" w:right="440" w:bottom="1181" w:header="0" w:footer="75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Улан-Удэ, 2023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340" w:after="6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Актуальность рабочей программы курса «Функциональная грамотность»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Реализация требований ФГОС СОО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курса в учебном плане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изучение курса в 10 классе отводится 1 час в неделю. Программа рассчитана в 10 классе на 34 часа в год (1 час в неделю).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Цель курса внеурочной деятельности программы: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развитие функциональной грамотности учащихся 10 классов как индикатора качества и эффективности образования, равенства доступа к образованию.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Курс призван решать следующие задачи: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•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развитие способности формулировать, применять и интерпретировать математикув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•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реализации курса «Основы функциональной грамотности»: 1 год.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Форма проведения занятий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Формы организации Деятельности учащихся -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индивидуальная, фронтальная, индивидуально</w:t>
        <w:softHyphen/>
        <w:t>групповая, групповая.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виды деятельности учащихся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Познавательная деятельность, Игровая деятельность.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(беседа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проектная деятельность, самостоятельная работа, работа в парах, в группах, творческие работы.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Формы подведения итогов реализации программы: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зачетная работа.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Содержание курса внеурочной деятельности 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1: Основы математической грамотности (18 ч.)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Работа с информацией, представленной в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 Интерпретация трёхмерных изображений, построение фигур. 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 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 Задачи с лишними данными. Решение типичных задач через систему линейных уравнений. Количественные рассуждения, связанные со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явления и зависимости.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2: Основы финансовой грамотности (16 ч.)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Домашняя бухгалтерия. Составление личного финансового плана. Что такое депозит и какова его природа. Условия депозита. Преимущества и недостатки депозита. Как работает кредит. Характеристики кредита. Принятие решения о взятии кредита. Как выбрать наиболее подходящий кредит. Как сэкономить при использовании кредита. Хранение, обмен и перевод денег. Платежные средства. Электронные деньги. Способы защиты от рисков. Виды страхования. Проведение рубежной аттестации.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3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Планируемые результаты освоения курса внеурочной деятельности.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Личностные результаты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  <w:tab w:pos="2866" w:val="left"/>
        </w:tabs>
        <w:bidi w:val="0"/>
        <w:spacing w:before="0" w:after="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формулирует</w:t>
        <w:tab/>
        <w:t>и объясняет собственную позицию в конкретных ситуациях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общественной жизни на основе полученных знаний;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  <w:tab w:pos="2827" w:val="left"/>
          <w:tab w:pos="4466" w:val="left"/>
          <w:tab w:pos="6007" w:val="left"/>
        </w:tabs>
        <w:bidi w:val="0"/>
        <w:spacing w:before="0" w:after="0" w:line="262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оценивает</w:t>
        <w:tab/>
        <w:t>действия</w:t>
        <w:tab/>
        <w:t>в</w:t>
        <w:tab/>
        <w:t>конкретных ситуациях с позиции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299" w:val="left"/>
          <w:tab w:pos="282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норм</w:t>
        <w:tab/>
        <w:t>морали</w:t>
        <w:tab/>
        <w:t>иобщечеловеческих ценностей, прав и обязанностей гражданина.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Метапредметные результаты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находит и извлекает информацию в различном контексте;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объясняет и описывает явления на основе полученной информации;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анализирует и интегрирует полученную информацию;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формулирует проблему, интерпретирует и оценивает её;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260" w:line="26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делает выводы, строит прогнозы, предлагает пути решения.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обучающийся научится: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4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обучающийся получит возможность: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03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применять полученные предметные знания для решения разного рода проблем и практических задач; формулировать проблему на основе анализа ситуации; анализировать и обобщать (интегрировать) информацию различного предметногосодержания в разном контексте; овладеть универсальными способами анализа информации и ее интеграции в единое целое;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оценивать и интерпретировать различные поставленные перед ними проблемы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рамках предметного содержания; интерпретировать и оценивать полученные результаты в различном контекстелично значимой, национальной или глобальной ситуации, проблемы;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299" w:val="left"/>
        </w:tabs>
        <w:bidi w:val="0"/>
        <w:spacing w:before="0" w:after="0" w:line="264" w:lineRule="auto"/>
        <w:ind w:left="0" w:right="0" w:firstLine="4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•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оценивать проблемы, делать выводы, строить прогнозы, предлагать различныепути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их решения.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 Тематическое планирование</w:t>
      </w:r>
    </w:p>
    <w:tbl>
      <w:tblPr>
        <w:tblOverlap w:val="never"/>
        <w:jc w:val="center"/>
        <w:tblLayout w:type="fixed"/>
      </w:tblPr>
      <w:tblGrid>
        <w:gridCol w:w="1090"/>
        <w:gridCol w:w="6562"/>
        <w:gridCol w:w="2136"/>
      </w:tblGrid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раздела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1сов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Основы математической грамотности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Основы финансовой грамотности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Календарно-тематическое планирование курса внеурочной деятельности «Основы функциональной грамотности»</w:t>
      </w:r>
    </w:p>
    <w:tbl>
      <w:tblPr>
        <w:tblOverlap w:val="never"/>
        <w:jc w:val="center"/>
        <w:tblLayout w:type="fixed"/>
      </w:tblPr>
      <w:tblGrid>
        <w:gridCol w:w="600"/>
        <w:gridCol w:w="782"/>
        <w:gridCol w:w="710"/>
        <w:gridCol w:w="5678"/>
        <w:gridCol w:w="2270"/>
      </w:tblGrid>
      <w:tr>
        <w:trPr>
          <w:trHeight w:val="245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 класса (34 часа, 1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 в неделю)</w:t>
            </w:r>
          </w:p>
        </w:tc>
      </w:tr>
      <w:tr>
        <w:trPr>
          <w:trHeight w:val="5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Виды втельности</w:t>
            </w:r>
          </w:p>
        </w:tc>
      </w:tr>
      <w:tr>
        <w:trPr>
          <w:trHeight w:val="11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 фа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Раздел 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: Основы математической грамотности (18 часов)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информацией, представленной в форме шиц, диаграмм столбчатой и круговой, схем.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Вычисление расстояний на местности в стандартных ситуациях и применение формул в Ис вседневной жизни.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 следование.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2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Квадратные уравнения, аналитические и налитические методы решения.</w:t>
              <w:tab/>
              <w:t>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Исследовательс работа, вктикум.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618" w:val="left"/>
                <w:tab w:pos="362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Алгебраические связи между элементами фигур: рема Пифагора, соотношение между сторонами раб угольника,</w:t>
              <w:tab/>
              <w:t>относительное</w:t>
              <w:tab/>
              <w:t>расположение,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венство.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Проектная ота.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Математическое описание зависимости между веменными в различных процессах.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 ок практикум.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978" w:val="left"/>
                <w:tab w:pos="36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Интерпретация</w:t>
              <w:tab/>
              <w:t>трехмерных</w:t>
              <w:tab/>
              <w:t>изображений,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42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строение фигур.</w:t>
              <w:tab/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Моделирование Выполнение унка.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актикум.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Определение ошибки измерения, определение нсов наступления того и иного события.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Урок- вледование.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типичных математических задач, вбующих прохождения этапа моделирования.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Урок- вктикум.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типичных математических задач, вбующих прохождения этапа моделирования.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Урок- вктикум.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23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Представление данных в виде таблиц. Простые и жные вопросы.</w:t>
              <w:tab/>
              <w:t>Об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62" w:val="left"/>
              </w:tabs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Представление данных в виде диаграмм. остые и сложные вопросы.</w:t>
              <w:tab/>
              <w:t>Ис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12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Построение мультипликативной модели с тремя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тавляющими.</w:t>
              <w:tab/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Моделирование Конструирование оритма. актикум.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Задачи с лишними данными.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 следование.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405" w:val="left"/>
              </w:tabs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типичных задач через систему нейных уравнений.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Вы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9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Исследование. бор</w:t>
              <w:tab/>
              <w:t>способа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ения.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актикум.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Количественные рассуждения, связанные со ыслом числа, различнымипредставлениями чисел,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актикум.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0"/>
        <w:gridCol w:w="778"/>
        <w:gridCol w:w="710"/>
        <w:gridCol w:w="5674"/>
        <w:gridCol w:w="2275"/>
      </w:tblGrid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ществом вычислений, вычислениями в уме, оценкой разумности результатов.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стереометрических задач.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 актикум.</w:t>
            </w:r>
          </w:p>
        </w:tc>
      </w:tr>
      <w:tr>
        <w:trPr>
          <w:trHeight w:val="1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42" w:val="left"/>
              </w:tabs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Вероятностные, статистические явления и исимости.</w:t>
              <w:tab/>
              <w:t>Ин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661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Исследование. терпретация ультатов</w:t>
              <w:tab/>
              <w:t>в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!ныхконтекстах.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рубежной аттестации.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Тестирование.</w:t>
            </w:r>
          </w:p>
        </w:tc>
      </w:tr>
      <w:tr>
        <w:trPr>
          <w:trHeight w:val="29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Раздел 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: Основы финансовой грамотности (16 часов)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Домашняя бухгалтерия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личного финансового плана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такое депозит и какова его природа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Условия депозита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Преимущества и недостатки депозита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Как работает кредит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Характеристики кредита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 следование.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Принятие решения о взятии кредита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Как выбрать наиболее подходящий кредит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Как сэкономить при использовании кредита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Беседа.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Практикум.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Хранение, обмен и перевод денег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Платежные средства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Электронные деньги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Способы защиты от рисков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Виды страхования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Обсуждение.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следование.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рубежной аттестации.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Тестирование.</w:t>
            </w:r>
          </w:p>
        </w:tc>
      </w:tr>
    </w:tbl>
    <w:sectPr>
      <w:headerReference w:type="default" r:id="rId8"/>
      <w:footerReference w:type="default" r:id="rId9"/>
      <w:footnotePr>
        <w:pos w:val="pageBottom"/>
        <w:numFmt w:val="decimal"/>
        <w:numRestart w:val="continuous"/>
      </w:footnotePr>
      <w:pgSz w:w="11900" w:h="16840"/>
      <w:pgMar w:top="766" w:left="1062" w:right="293" w:bottom="955" w:header="33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4225290</wp:posOffset>
              </wp:positionH>
              <wp:positionV relativeFrom="page">
                <wp:posOffset>10158095</wp:posOffset>
              </wp:positionV>
              <wp:extent cx="69850" cy="1155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32.69999999999999pt;margin-top:799.85000000000002pt;width:5.5pt;height:9.09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2242185</wp:posOffset>
              </wp:positionH>
              <wp:positionV relativeFrom="page">
                <wp:posOffset>1137285</wp:posOffset>
              </wp:positionV>
              <wp:extent cx="4136390" cy="16446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36390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616161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МИНИСТЕРСТВО ПРОСВЕЩЕНИЯ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76.55000000000001pt;margin-top:89.549999999999997pt;width:325.69999999999999pt;height:12.94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616161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МИНИСТЕРСТВО ПРОСВЕЩЕНИЯ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28282"/>
      <w:sz w:val="15"/>
      <w:szCs w:val="15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8282"/>
      <w:sz w:val="20"/>
      <w:szCs w:val="20"/>
      <w:u w:val="none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Основной текст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Подпись к таблице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Другое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28282"/>
      <w:sz w:val="15"/>
      <w:szCs w:val="15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260"/>
      <w:ind w:left="19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8282"/>
      <w:sz w:val="20"/>
      <w:szCs w:val="20"/>
      <w:u w:val="none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FFFFFF"/>
      <w:ind w:firstLine="4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0">
    <w:name w:val="Другое"/>
    <w:basedOn w:val="Normal"/>
    <w:link w:val="CharStyle21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315</dc:creator>
  <cp:keywords/>
</cp:coreProperties>
</file>